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F1" w:rsidRPr="00D757F1" w:rsidRDefault="00D757F1" w:rsidP="00DD2D82">
      <w:pPr>
        <w:spacing w:before="120" w:after="120" w:afterAutospacing="0" w:line="360" w:lineRule="auto"/>
        <w:jc w:val="center"/>
        <w:rPr>
          <w:b/>
        </w:rPr>
      </w:pPr>
      <w:r w:rsidRPr="00D757F1">
        <w:rPr>
          <w:b/>
        </w:rPr>
        <w:t>Programma MaB</w:t>
      </w:r>
    </w:p>
    <w:p w:rsidR="00D757F1" w:rsidRPr="00D757F1" w:rsidRDefault="00D757F1" w:rsidP="00DD2D82">
      <w:pPr>
        <w:spacing w:before="120" w:after="120" w:afterAutospacing="0" w:line="360" w:lineRule="auto"/>
      </w:pPr>
      <w:r w:rsidRPr="00D757F1">
        <w:rPr>
          <w:b/>
          <w:bCs/>
        </w:rPr>
        <w:t>Scopo della proclamazione delle Riserve</w:t>
      </w:r>
    </w:p>
    <w:p w:rsidR="00AA61E7" w:rsidRPr="00D757F1" w:rsidRDefault="00EA6CA6" w:rsidP="00DD2D82">
      <w:pPr>
        <w:numPr>
          <w:ilvl w:val="0"/>
          <w:numId w:val="6"/>
        </w:numPr>
        <w:spacing w:before="120" w:after="120" w:afterAutospacing="0" w:line="360" w:lineRule="auto"/>
      </w:pPr>
      <w:r w:rsidRPr="00D757F1">
        <w:t>promuovere e dimostrare una relazione equilibrata fra la comunità umana e gli ecosistemi</w:t>
      </w:r>
    </w:p>
    <w:p w:rsidR="00AA61E7" w:rsidRPr="00D757F1" w:rsidRDefault="00EA6CA6" w:rsidP="00DD2D82">
      <w:pPr>
        <w:numPr>
          <w:ilvl w:val="0"/>
          <w:numId w:val="6"/>
        </w:numPr>
        <w:spacing w:before="120" w:after="120" w:afterAutospacing="0" w:line="360" w:lineRule="auto"/>
      </w:pPr>
      <w:r w:rsidRPr="00D757F1">
        <w:t>creare siti privilegiati per la ricerca, la formazione e l'educazione ambientale</w:t>
      </w:r>
    </w:p>
    <w:p w:rsidR="00AA61E7" w:rsidRPr="00D757F1" w:rsidRDefault="00EA6CA6" w:rsidP="00DD2D82">
      <w:pPr>
        <w:numPr>
          <w:ilvl w:val="0"/>
          <w:numId w:val="6"/>
        </w:numPr>
        <w:spacing w:before="120" w:after="120" w:afterAutospacing="0" w:line="360" w:lineRule="auto"/>
      </w:pPr>
      <w:r w:rsidRPr="00D757F1">
        <w:t>creare poli di sperimentazione di politiche mirate di sviluppo e pianificazione territoriale</w:t>
      </w:r>
    </w:p>
    <w:p w:rsidR="00E757CE" w:rsidRPr="00D757F1" w:rsidRDefault="00E757CE" w:rsidP="00E757CE">
      <w:pPr>
        <w:spacing w:before="120" w:after="120" w:afterAutospacing="0" w:line="360" w:lineRule="auto"/>
        <w:rPr>
          <w:b/>
        </w:rPr>
      </w:pPr>
      <w:r w:rsidRPr="00D757F1">
        <w:rPr>
          <w:b/>
        </w:rPr>
        <w:t>4 obiettivi principali:</w:t>
      </w:r>
    </w:p>
    <w:p w:rsidR="00E757CE" w:rsidRPr="00D757F1" w:rsidRDefault="00E757CE" w:rsidP="00E757CE">
      <w:pPr>
        <w:numPr>
          <w:ilvl w:val="0"/>
          <w:numId w:val="5"/>
        </w:numPr>
        <w:spacing w:before="120" w:after="120" w:afterAutospacing="0" w:line="360" w:lineRule="auto"/>
      </w:pPr>
      <w:r w:rsidRPr="00D757F1">
        <w:t>usare le Riserve di Biosfera per conservare la diversità naturale e culturale</w:t>
      </w:r>
    </w:p>
    <w:p w:rsidR="00E757CE" w:rsidRPr="00D757F1" w:rsidRDefault="00E757CE" w:rsidP="00E757CE">
      <w:pPr>
        <w:numPr>
          <w:ilvl w:val="0"/>
          <w:numId w:val="5"/>
        </w:numPr>
        <w:spacing w:before="120" w:after="120" w:afterAutospacing="0" w:line="360" w:lineRule="auto"/>
      </w:pPr>
      <w:r w:rsidRPr="00D757F1">
        <w:t>utilizzare le Riserve della Biosfera come modelli di gestione del territorio e di sviluppo sostenibile</w:t>
      </w:r>
    </w:p>
    <w:p w:rsidR="00E757CE" w:rsidRPr="00D757F1" w:rsidRDefault="00E757CE" w:rsidP="00E757CE">
      <w:pPr>
        <w:numPr>
          <w:ilvl w:val="0"/>
          <w:numId w:val="5"/>
        </w:numPr>
        <w:spacing w:before="120" w:after="120" w:afterAutospacing="0" w:line="360" w:lineRule="auto"/>
      </w:pPr>
      <w:r w:rsidRPr="00D757F1">
        <w:t>usare le Riserve di Biosfera per la ricerca, il monitoraggio, l’educazione e la formazione</w:t>
      </w:r>
    </w:p>
    <w:p w:rsidR="00E757CE" w:rsidRPr="00D757F1" w:rsidRDefault="00E757CE" w:rsidP="00E757CE">
      <w:pPr>
        <w:numPr>
          <w:ilvl w:val="0"/>
          <w:numId w:val="5"/>
        </w:numPr>
        <w:spacing w:before="120" w:after="120" w:afterAutospacing="0" w:line="360" w:lineRule="auto"/>
      </w:pPr>
      <w:r w:rsidRPr="00D757F1">
        <w:t>implementare il concetto di Riserva di Biosfera</w:t>
      </w:r>
    </w:p>
    <w:p w:rsidR="00567F65" w:rsidRDefault="00567F65">
      <w:r>
        <w:br w:type="page"/>
      </w:r>
    </w:p>
    <w:p w:rsidR="008A7CB5" w:rsidRPr="00567F65" w:rsidRDefault="00D757F1" w:rsidP="00567F65">
      <w:pPr>
        <w:spacing w:before="120" w:after="120" w:afterAutospacing="0" w:line="360" w:lineRule="auto"/>
        <w:jc w:val="center"/>
        <w:rPr>
          <w:b/>
        </w:rPr>
      </w:pPr>
      <w:r w:rsidRPr="00567F65">
        <w:rPr>
          <w:b/>
        </w:rPr>
        <w:lastRenderedPageBreak/>
        <w:t>Affinché un sito sia riconosciuto Riserva della Biosfera UNESCO è necessario che risponda ai 7 criteri di cui all’art. 4 del “Quadro Statutario” delle RB MaB UNESCO</w:t>
      </w:r>
      <w:r w:rsidR="003E3698" w:rsidRPr="00567F65">
        <w:rPr>
          <w:b/>
        </w:rPr>
        <w:t>:</w:t>
      </w:r>
    </w:p>
    <w:sdt>
      <w:sdtPr>
        <w:id w:val="-1608346405"/>
        <w:lock w:val="contentLocked"/>
        <w:placeholder>
          <w:docPart w:val="DefaultPlaceholder_1082065158"/>
        </w:placeholder>
        <w:group/>
      </w:sdtPr>
      <w:sdtContent>
        <w:sdt>
          <w:sdtPr>
            <w:id w:val="-798376529"/>
            <w:placeholder>
              <w:docPart w:val="DefaultPlaceholder_1082065158"/>
            </w:placeholder>
          </w:sdtPr>
          <w:sdtContent>
            <w:p w:rsidR="002C26D5" w:rsidRDefault="003E3698" w:rsidP="00DD2D82">
              <w:pPr>
                <w:pStyle w:val="Paragrafoelenco"/>
                <w:numPr>
                  <w:ilvl w:val="0"/>
                  <w:numId w:val="7"/>
                </w:numPr>
                <w:spacing w:before="120" w:after="120" w:afterAutospacing="0" w:line="360" w:lineRule="auto"/>
              </w:pPr>
              <w:r>
                <w:t xml:space="preserve">l’area dovrà </w:t>
              </w:r>
              <w:r w:rsidR="00D757F1">
                <w:t>comprendere un mosaico d’ecosistemi rappresentativi d</w:t>
              </w:r>
              <w:r w:rsidR="00604456">
                <w:t xml:space="preserve">elle principali </w:t>
              </w:r>
              <w:r w:rsidR="00D757F1">
                <w:t xml:space="preserve">regioni </w:t>
              </w:r>
              <w:r w:rsidR="008A7CB5">
                <w:t>biogeografiche, incluso un gradiente antropico</w:t>
              </w:r>
            </w:p>
            <w:p w:rsidR="00D757F1" w:rsidRDefault="00175C33" w:rsidP="002C26D5">
              <w:pPr>
                <w:pStyle w:val="Paragrafoelenco"/>
                <w:spacing w:before="120" w:after="120" w:afterAutospacing="0" w:line="360" w:lineRule="auto"/>
              </w:pPr>
            </w:p>
            <w:bookmarkStart w:id="0" w:name="_GoBack" w:displacedByCustomXml="next"/>
            <w:bookmarkEnd w:id="0" w:displacedByCustomXml="next"/>
          </w:sdtContent>
        </w:sdt>
        <w:sdt>
          <w:sdtPr>
            <w:id w:val="-1186200149"/>
            <w:placeholder>
              <w:docPart w:val="DefaultPlaceholder_1082065158"/>
            </w:placeholder>
          </w:sdtPr>
          <w:sdtContent>
            <w:p w:rsidR="002C26D5" w:rsidRDefault="003E3698" w:rsidP="00DD2D82">
              <w:pPr>
                <w:pStyle w:val="Paragrafoelenco"/>
                <w:numPr>
                  <w:ilvl w:val="0"/>
                  <w:numId w:val="7"/>
                </w:numPr>
                <w:spacing w:before="120" w:after="120" w:afterAutospacing="0" w:line="360" w:lineRule="auto"/>
              </w:pPr>
              <w:r>
                <w:t xml:space="preserve">dovrà essere </w:t>
              </w:r>
              <w:r w:rsidR="008A7CB5">
                <w:t>significativa per la conservazione della diversità biologica</w:t>
              </w:r>
            </w:p>
            <w:p w:rsidR="008A7CB5" w:rsidRDefault="00175C33" w:rsidP="002C26D5">
              <w:pPr>
                <w:pStyle w:val="Paragrafoelenco"/>
                <w:spacing w:before="120" w:after="120" w:afterAutospacing="0" w:line="360" w:lineRule="auto"/>
              </w:pPr>
            </w:p>
          </w:sdtContent>
        </w:sdt>
        <w:sdt>
          <w:sdtPr>
            <w:rPr>
              <w:color w:val="222222"/>
            </w:rPr>
            <w:id w:val="1215706824"/>
            <w:placeholder>
              <w:docPart w:val="DefaultPlaceholder_1082065158"/>
            </w:placeholder>
          </w:sdtPr>
          <w:sdtEndPr>
            <w:rPr>
              <w:color w:val="auto"/>
            </w:rPr>
          </w:sdtEndPr>
          <w:sdtContent>
            <w:p w:rsidR="002C26D5" w:rsidRDefault="00604456" w:rsidP="00DD2D82">
              <w:pPr>
                <w:pStyle w:val="Paragrafoelenco"/>
                <w:numPr>
                  <w:ilvl w:val="0"/>
                  <w:numId w:val="7"/>
                </w:numPr>
                <w:spacing w:before="120" w:after="120" w:afterAutospacing="0" w:line="360" w:lineRule="auto"/>
              </w:pPr>
              <w:r>
                <w:rPr>
                  <w:color w:val="222222"/>
                </w:rPr>
                <w:t>offrire</w:t>
              </w:r>
              <w:r w:rsidR="008A7CB5">
                <w:t xml:space="preserve"> l’opportunità di </w:t>
              </w:r>
              <w:r>
                <w:t>esplorare</w:t>
              </w:r>
              <w:r w:rsidR="008A7CB5">
                <w:t xml:space="preserve"> e dimostrare approcci di sviluppo sostenibile a livello regionale</w:t>
              </w:r>
              <w:r>
                <w:t xml:space="preserve"> </w:t>
              </w:r>
            </w:p>
            <w:p w:rsidR="008A7CB5" w:rsidRDefault="00175C33" w:rsidP="002C26D5">
              <w:pPr>
                <w:pStyle w:val="Paragrafoelenco"/>
                <w:spacing w:before="120" w:after="120" w:afterAutospacing="0" w:line="360" w:lineRule="auto"/>
              </w:pPr>
            </w:p>
          </w:sdtContent>
        </w:sdt>
        <w:sdt>
          <w:sdtPr>
            <w:id w:val="2052185899"/>
            <w:placeholder>
              <w:docPart w:val="DefaultPlaceholder_1082065158"/>
            </w:placeholder>
          </w:sdtPr>
          <w:sdtContent>
            <w:p w:rsidR="008A7CB5" w:rsidRDefault="003E3698" w:rsidP="00DD2D82">
              <w:pPr>
                <w:pStyle w:val="Paragrafoelenco"/>
                <w:numPr>
                  <w:ilvl w:val="0"/>
                  <w:numId w:val="7"/>
                </w:numPr>
                <w:spacing w:before="120" w:after="120" w:afterAutospacing="0" w:line="360" w:lineRule="auto"/>
              </w:pPr>
              <w:r>
                <w:t xml:space="preserve">dovrà </w:t>
              </w:r>
              <w:r w:rsidR="008A7CB5">
                <w:t>avere una dimensione appropriata per soddisfare le tre funzioni di cui all’art. 3</w:t>
              </w:r>
            </w:p>
          </w:sdtContent>
        </w:sdt>
        <w:sdt>
          <w:sdtPr>
            <w:id w:val="-1533790696"/>
            <w:placeholder>
              <w:docPart w:val="DefaultPlaceholder_1082065158"/>
            </w:placeholder>
          </w:sdtPr>
          <w:sdtContent>
            <w:p w:rsidR="002C26D5" w:rsidRDefault="003E3698" w:rsidP="00DD2D82">
              <w:pPr>
                <w:pStyle w:val="Paragrafoelenco"/>
                <w:numPr>
                  <w:ilvl w:val="2"/>
                  <w:numId w:val="7"/>
                </w:numPr>
                <w:spacing w:before="120" w:after="120" w:afterAutospacing="0" w:line="360" w:lineRule="auto"/>
              </w:pPr>
              <w:r>
                <w:t>conservazione – contribuire alla conservazione dei paesaggi, ecosistemi, specie e variazione genetica</w:t>
              </w:r>
            </w:p>
            <w:p w:rsidR="003E3698" w:rsidRDefault="00175C33" w:rsidP="002C26D5">
              <w:pPr>
                <w:pStyle w:val="Paragrafoelenco"/>
                <w:spacing w:before="120" w:after="120" w:afterAutospacing="0" w:line="360" w:lineRule="auto"/>
                <w:ind w:left="2160"/>
              </w:pPr>
            </w:p>
          </w:sdtContent>
        </w:sdt>
        <w:sdt>
          <w:sdtPr>
            <w:id w:val="-758988047"/>
            <w:placeholder>
              <w:docPart w:val="DefaultPlaceholder_1082065158"/>
            </w:placeholder>
          </w:sdtPr>
          <w:sdtContent>
            <w:p w:rsidR="002C26D5" w:rsidRDefault="003E3698" w:rsidP="00DD2D82">
              <w:pPr>
                <w:pStyle w:val="Paragrafoelenco"/>
                <w:numPr>
                  <w:ilvl w:val="2"/>
                  <w:numId w:val="7"/>
                </w:numPr>
                <w:spacing w:before="120" w:after="120" w:afterAutospacing="0" w:line="360" w:lineRule="auto"/>
              </w:pPr>
              <w:r>
                <w:t>sviluppo – incoraggiare uno sviluppo economico e umano sostenibile dal punto di vista socioculturale e ecologico</w:t>
              </w:r>
            </w:p>
            <w:p w:rsidR="003E3698" w:rsidRDefault="000F5E84" w:rsidP="002C26D5">
              <w:pPr>
                <w:pStyle w:val="Paragrafoelenco"/>
                <w:spacing w:before="120" w:after="120" w:afterAutospacing="0" w:line="360" w:lineRule="auto"/>
                <w:ind w:left="2160"/>
              </w:pPr>
            </w:p>
          </w:sdtContent>
        </w:sdt>
        <w:sdt>
          <w:sdtPr>
            <w:id w:val="-167183510"/>
            <w:placeholder>
              <w:docPart w:val="DefaultPlaceholder_1082065158"/>
            </w:placeholder>
          </w:sdtPr>
          <w:sdtContent>
            <w:p w:rsidR="002C26D5" w:rsidRDefault="003E3698" w:rsidP="00DD2D82">
              <w:pPr>
                <w:pStyle w:val="Paragrafoelenco"/>
                <w:numPr>
                  <w:ilvl w:val="2"/>
                  <w:numId w:val="7"/>
                </w:numPr>
                <w:spacing w:before="120" w:after="120" w:afterAutospacing="0" w:line="360" w:lineRule="auto"/>
              </w:pPr>
              <w:r>
                <w:t>supporto logistico – fornire dei mezzi per progetti di dimostrazione e delle attività di educazione ambientale e di formazione, di ricerca e di monitoraggio continuo sui problemi locali, regionali, nazionali e mondiale di conservazione e di sviluppo sostenibile</w:t>
              </w:r>
            </w:p>
            <w:p w:rsidR="003E3698" w:rsidRDefault="000F5E84" w:rsidP="002C26D5">
              <w:pPr>
                <w:pStyle w:val="Paragrafoelenco"/>
                <w:spacing w:before="120" w:after="120" w:afterAutospacing="0" w:line="360" w:lineRule="auto"/>
                <w:ind w:left="2160"/>
              </w:pPr>
            </w:p>
          </w:sdtContent>
        </w:sdt>
        <w:sdt>
          <w:sdtPr>
            <w:id w:val="-1474826743"/>
            <w:placeholder>
              <w:docPart w:val="DefaultPlaceholder_1082065158"/>
            </w:placeholder>
          </w:sdtPr>
          <w:sdtContent>
            <w:p w:rsidR="00761001" w:rsidRDefault="003E3698" w:rsidP="00DD2D82">
              <w:pPr>
                <w:pStyle w:val="Paragrafoelenco"/>
                <w:numPr>
                  <w:ilvl w:val="0"/>
                  <w:numId w:val="7"/>
                </w:numPr>
                <w:spacing w:before="120" w:after="120" w:afterAutospacing="0" w:line="360" w:lineRule="auto"/>
              </w:pPr>
              <w:r>
                <w:t xml:space="preserve">dovrà </w:t>
              </w:r>
              <w:r w:rsidR="00761001">
                <w:t>riempire queste tre funzioni attraverso un’appropriata zonazione che riconosca:</w:t>
              </w:r>
            </w:p>
          </w:sdtContent>
        </w:sdt>
        <w:sdt>
          <w:sdtPr>
            <w:id w:val="-1775859974"/>
            <w:placeholder>
              <w:docPart w:val="DefaultPlaceholder_1082065158"/>
            </w:placeholder>
          </w:sdtPr>
          <w:sdtContent>
            <w:p w:rsidR="002C26D5" w:rsidRDefault="00761001" w:rsidP="00DD2D82">
              <w:pPr>
                <w:pStyle w:val="Paragrafoelenco"/>
                <w:numPr>
                  <w:ilvl w:val="1"/>
                  <w:numId w:val="7"/>
                </w:numPr>
                <w:spacing w:before="120" w:after="120" w:afterAutospacing="0" w:line="360" w:lineRule="auto"/>
              </w:pPr>
              <w:r>
                <w:t>una o più aree centrali (</w:t>
              </w:r>
              <w:r w:rsidRPr="00761001">
                <w:rPr>
                  <w:i/>
                </w:rPr>
                <w:t>core</w:t>
              </w:r>
              <w:r w:rsidRPr="00761001">
                <w:t>)</w:t>
              </w:r>
              <w:r w:rsidR="008A7CB5" w:rsidRPr="00761001">
                <w:t xml:space="preserve"> </w:t>
              </w:r>
              <w:r>
                <w:t>costituite ai termini di legge, consacrate alla protezione a lungo termine conformemente agli obiettivi di conservazione della Riserva di Biosfera e di una taglia sufficiente a riempire questi obiettivi</w:t>
              </w:r>
            </w:p>
            <w:p w:rsidR="008A7CB5" w:rsidRDefault="000F5E84" w:rsidP="002C26D5">
              <w:pPr>
                <w:pStyle w:val="Paragrafoelenco"/>
                <w:spacing w:before="120" w:after="120" w:afterAutospacing="0" w:line="360" w:lineRule="auto"/>
                <w:ind w:left="1440"/>
              </w:pPr>
            </w:p>
          </w:sdtContent>
        </w:sdt>
        <w:sdt>
          <w:sdtPr>
            <w:id w:val="1482894107"/>
            <w:placeholder>
              <w:docPart w:val="DefaultPlaceholder_1082065158"/>
            </w:placeholder>
          </w:sdtPr>
          <w:sdtContent>
            <w:p w:rsidR="002C26D5" w:rsidRDefault="00761001" w:rsidP="00DD2D82">
              <w:pPr>
                <w:pStyle w:val="Paragrafoelenco"/>
                <w:numPr>
                  <w:ilvl w:val="1"/>
                  <w:numId w:val="7"/>
                </w:numPr>
                <w:spacing w:before="120" w:after="120" w:afterAutospacing="0" w:line="360" w:lineRule="auto"/>
              </w:pPr>
              <w:r>
                <w:t>una o più aree tampone (</w:t>
              </w:r>
              <w:r>
                <w:rPr>
                  <w:i/>
                </w:rPr>
                <w:t>buffer</w:t>
              </w:r>
              <w:r>
                <w:t>) chiaramente identificate che circondano o sono contigue alle aree centrali e</w:t>
              </w:r>
              <w:r w:rsidR="00BF30ED">
                <w:t>d in cui</w:t>
              </w:r>
              <w:r>
                <w:t xml:space="preserve"> possono essere realizzate solo le attività compatibili con gli obiettivi di conservazione </w:t>
              </w:r>
            </w:p>
            <w:p w:rsidR="00761001" w:rsidRDefault="000F5E84" w:rsidP="002C26D5">
              <w:pPr>
                <w:pStyle w:val="Paragrafoelenco"/>
                <w:spacing w:before="120" w:after="120" w:afterAutospacing="0" w:line="360" w:lineRule="auto"/>
                <w:ind w:left="1440"/>
              </w:pPr>
            </w:p>
          </w:sdtContent>
        </w:sdt>
        <w:sdt>
          <w:sdtPr>
            <w:id w:val="-206106335"/>
            <w:placeholder>
              <w:docPart w:val="DefaultPlaceholder_1082065158"/>
            </w:placeholder>
          </w:sdtPr>
          <w:sdtContent>
            <w:p w:rsidR="002C26D5" w:rsidRDefault="00BF30ED" w:rsidP="00DD2D82">
              <w:pPr>
                <w:pStyle w:val="Paragrafoelenco"/>
                <w:numPr>
                  <w:ilvl w:val="1"/>
                  <w:numId w:val="7"/>
                </w:numPr>
                <w:spacing w:before="120" w:after="120" w:afterAutospacing="0" w:line="360" w:lineRule="auto"/>
              </w:pPr>
              <w:r>
                <w:t>un’ area di transizione esterna (</w:t>
              </w:r>
              <w:r w:rsidRPr="00BF30ED">
                <w:rPr>
                  <w:i/>
                </w:rPr>
                <w:t>transition</w:t>
              </w:r>
              <w:r>
                <w:t>)</w:t>
              </w:r>
              <w:r w:rsidRPr="00BF30ED">
                <w:t xml:space="preserve"> in cui vengono promosse e sviluppate pratiche di gestione sostenibile delle risorse</w:t>
              </w:r>
            </w:p>
            <w:p w:rsidR="00BF30ED" w:rsidRPr="00BF30ED" w:rsidRDefault="000F5E84" w:rsidP="002C26D5">
              <w:pPr>
                <w:pStyle w:val="Paragrafoelenco"/>
                <w:spacing w:before="120" w:after="120" w:afterAutospacing="0" w:line="360" w:lineRule="auto"/>
                <w:ind w:left="1440"/>
              </w:pPr>
            </w:p>
          </w:sdtContent>
        </w:sdt>
        <w:sdt>
          <w:sdtPr>
            <w:id w:val="-1207332459"/>
            <w:placeholder>
              <w:docPart w:val="DefaultPlaceholder_1082065158"/>
            </w:placeholder>
          </w:sdtPr>
          <w:sdtContent>
            <w:p w:rsidR="000F5E84" w:rsidRDefault="00604456" w:rsidP="00DD2D82">
              <w:pPr>
                <w:pStyle w:val="Paragrafoelenco"/>
                <w:numPr>
                  <w:ilvl w:val="0"/>
                  <w:numId w:val="7"/>
                </w:numPr>
                <w:spacing w:before="120" w:after="120" w:afterAutospacing="0" w:line="360" w:lineRule="auto"/>
              </w:pPr>
              <w:r w:rsidRPr="00604456">
                <w:t xml:space="preserve">Devono essere previste disposizioni organizzative per la partecipazione e la partecipazione di una gamma adeguata tra le autorità pubbliche, le comunità locali e gli interessi privati </w:t>
              </w:r>
              <w:r w:rsidRPr="00604456">
                <w:rPr>
                  <w:rFonts w:ascii="Times New Roman" w:hAnsi="Times New Roman" w:cs="Times New Roman"/>
                </w:rPr>
                <w:t>​​</w:t>
              </w:r>
              <w:r w:rsidRPr="00604456">
                <w:t>per la progettazione e l'esecuzione delle funzioni di una ris</w:t>
              </w:r>
              <w:r>
                <w:t>erva di biosfera</w:t>
              </w:r>
            </w:p>
            <w:p w:rsidR="00761001" w:rsidRDefault="000F5E84" w:rsidP="000F5E84">
              <w:pPr>
                <w:pStyle w:val="Paragrafoelenco"/>
                <w:spacing w:before="120" w:after="120" w:afterAutospacing="0" w:line="360" w:lineRule="auto"/>
              </w:pPr>
            </w:p>
          </w:sdtContent>
        </w:sdt>
        <w:sdt>
          <w:sdtPr>
            <w:id w:val="-704866468"/>
            <w:placeholder>
              <w:docPart w:val="DefaultPlaceholder_1082065158"/>
            </w:placeholder>
          </w:sdtPr>
          <w:sdtContent>
            <w:p w:rsidR="00604456" w:rsidRDefault="00604456" w:rsidP="00DD2D82">
              <w:pPr>
                <w:pStyle w:val="Paragrafoelenco"/>
                <w:numPr>
                  <w:ilvl w:val="0"/>
                  <w:numId w:val="7"/>
                </w:numPr>
                <w:spacing w:before="120" w:after="120" w:afterAutospacing="0" w:line="360" w:lineRule="auto"/>
              </w:pPr>
              <w:r>
                <w:t>Dovranno essere previsti in oltre:</w:t>
              </w:r>
            </w:p>
          </w:sdtContent>
        </w:sdt>
        <w:sdt>
          <w:sdtPr>
            <w:id w:val="-1766223190"/>
            <w:placeholder>
              <w:docPart w:val="DefaultPlaceholder_1082065158"/>
            </w:placeholder>
          </w:sdtPr>
          <w:sdtContent>
            <w:p w:rsidR="000F5E84" w:rsidRDefault="00604456" w:rsidP="00DD2D82">
              <w:pPr>
                <w:pStyle w:val="Paragrafoelenco"/>
                <w:numPr>
                  <w:ilvl w:val="1"/>
                  <w:numId w:val="7"/>
                </w:numPr>
                <w:spacing w:before="120" w:after="120" w:afterAutospacing="0" w:line="360" w:lineRule="auto"/>
              </w:pPr>
              <w:r>
                <w:t>Meccanismi di gestione dell’utilizzo delle risorse e delle attività umane nelle aree tampone</w:t>
              </w:r>
            </w:p>
            <w:p w:rsidR="00604456" w:rsidRDefault="000F5E84" w:rsidP="000F5E84">
              <w:pPr>
                <w:pStyle w:val="Paragrafoelenco"/>
                <w:spacing w:before="120" w:after="120" w:afterAutospacing="0" w:line="360" w:lineRule="auto"/>
                <w:ind w:left="1440"/>
              </w:pPr>
            </w:p>
          </w:sdtContent>
        </w:sdt>
        <w:sdt>
          <w:sdtPr>
            <w:id w:val="-1415238851"/>
            <w:placeholder>
              <w:docPart w:val="DefaultPlaceholder_1082065158"/>
            </w:placeholder>
          </w:sdtPr>
          <w:sdtContent>
            <w:p w:rsidR="000F5E84" w:rsidRDefault="00604456" w:rsidP="00DD2D82">
              <w:pPr>
                <w:pStyle w:val="Paragrafoelenco"/>
                <w:numPr>
                  <w:ilvl w:val="1"/>
                  <w:numId w:val="7"/>
                </w:numPr>
                <w:spacing w:before="120" w:after="120" w:afterAutospacing="0" w:line="360" w:lineRule="auto"/>
              </w:pPr>
              <w:r>
                <w:t>Un piano o una politica di gestione per l’area come una Riserva della Biosfera</w:t>
              </w:r>
            </w:p>
            <w:p w:rsidR="00604456" w:rsidRDefault="000F5E84" w:rsidP="000F5E84">
              <w:pPr>
                <w:pStyle w:val="Paragrafoelenco"/>
                <w:spacing w:before="120" w:after="120" w:afterAutospacing="0" w:line="360" w:lineRule="auto"/>
                <w:ind w:left="1440"/>
              </w:pPr>
            </w:p>
          </w:sdtContent>
        </w:sdt>
        <w:sdt>
          <w:sdtPr>
            <w:id w:val="347299809"/>
            <w:placeholder>
              <w:docPart w:val="DefaultPlaceholder_1082065158"/>
            </w:placeholder>
          </w:sdtPr>
          <w:sdtContent>
            <w:p w:rsidR="000F5E84" w:rsidRDefault="00604456" w:rsidP="00DD2D82">
              <w:pPr>
                <w:pStyle w:val="Paragrafoelenco"/>
                <w:numPr>
                  <w:ilvl w:val="1"/>
                  <w:numId w:val="7"/>
                </w:numPr>
                <w:spacing w:before="120" w:after="120" w:afterAutospacing="0" w:line="360" w:lineRule="auto"/>
              </w:pPr>
              <w:r>
                <w:t>Un’autorità o un meccanismo designato all’attuazione di questo piano o questa politica</w:t>
              </w:r>
            </w:p>
            <w:p w:rsidR="00604456" w:rsidRDefault="000F5E84" w:rsidP="000F5E84">
              <w:pPr>
                <w:pStyle w:val="Paragrafoelenco"/>
                <w:spacing w:before="120" w:after="120" w:afterAutospacing="0" w:line="360" w:lineRule="auto"/>
                <w:ind w:left="1440"/>
              </w:pPr>
            </w:p>
          </w:sdtContent>
        </w:sdt>
        <w:sdt>
          <w:sdtPr>
            <w:id w:val="1548954618"/>
            <w:placeholder>
              <w:docPart w:val="DefaultPlaceholder_1082065158"/>
            </w:placeholder>
          </w:sdtPr>
          <w:sdtContent>
            <w:p w:rsidR="000F5E84" w:rsidRDefault="00604456" w:rsidP="00567F65">
              <w:pPr>
                <w:pStyle w:val="Paragrafoelenco"/>
                <w:numPr>
                  <w:ilvl w:val="1"/>
                  <w:numId w:val="7"/>
                </w:numPr>
                <w:spacing w:before="120" w:after="120" w:afterAutospacing="0" w:line="360" w:lineRule="auto"/>
              </w:pPr>
              <w:r>
                <w:t>Programmi di ricerca, di monitoraggio continuo, di educazione e formazione</w:t>
              </w:r>
            </w:p>
            <w:p w:rsidR="00DD2D82" w:rsidRDefault="000F5E84" w:rsidP="000F5E84">
              <w:pPr>
                <w:pStyle w:val="Paragrafoelenco"/>
                <w:spacing w:before="120" w:after="120" w:afterAutospacing="0" w:line="360" w:lineRule="auto"/>
                <w:ind w:left="1440"/>
              </w:pPr>
            </w:p>
          </w:sdtContent>
        </w:sdt>
      </w:sdtContent>
    </w:sdt>
    <w:p w:rsidR="00175C33" w:rsidRDefault="00175C33" w:rsidP="00175C33">
      <w:pPr>
        <w:spacing w:before="120" w:after="120" w:afterAutospacing="0" w:line="360" w:lineRule="auto"/>
      </w:pPr>
    </w:p>
    <w:p w:rsidR="00175C33" w:rsidRDefault="00175C33" w:rsidP="00175C33">
      <w:pPr>
        <w:spacing w:before="120" w:after="120" w:afterAutospacing="0" w:line="360" w:lineRule="auto"/>
      </w:pPr>
    </w:p>
    <w:p w:rsidR="00175C33" w:rsidRPr="002153CF" w:rsidRDefault="00175C33" w:rsidP="00175C33">
      <w:pPr>
        <w:spacing w:before="120" w:after="120" w:afterAutospacing="0" w:line="360" w:lineRule="auto"/>
      </w:pPr>
    </w:p>
    <w:sectPr w:rsidR="00175C33" w:rsidRPr="002153CF" w:rsidSect="00D757F1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4CE"/>
    <w:multiLevelType w:val="hybridMultilevel"/>
    <w:tmpl w:val="29C0F29C"/>
    <w:lvl w:ilvl="0" w:tplc="F96C67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1C8"/>
    <w:multiLevelType w:val="hybridMultilevel"/>
    <w:tmpl w:val="2A5C6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2116"/>
    <w:multiLevelType w:val="hybridMultilevel"/>
    <w:tmpl w:val="EDC89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2B00"/>
    <w:multiLevelType w:val="multilevel"/>
    <w:tmpl w:val="8FB2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87C1F"/>
    <w:multiLevelType w:val="hybridMultilevel"/>
    <w:tmpl w:val="06C29626"/>
    <w:lvl w:ilvl="0" w:tplc="D7B84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D7B846EE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58CC"/>
    <w:multiLevelType w:val="hybridMultilevel"/>
    <w:tmpl w:val="8F402D14"/>
    <w:lvl w:ilvl="0" w:tplc="C4DA7B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9611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60D0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CC6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B08F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16A1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6A10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CDF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8AAD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7DA56F1"/>
    <w:multiLevelType w:val="hybridMultilevel"/>
    <w:tmpl w:val="53E044CA"/>
    <w:lvl w:ilvl="0" w:tplc="D7B846EE">
      <w:start w:val="1"/>
      <w:numFmt w:val="bullet"/>
      <w:lvlText w:val="-"/>
      <w:lvlJc w:val="left"/>
      <w:pPr>
        <w:ind w:left="1429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13C"/>
    <w:multiLevelType w:val="multilevel"/>
    <w:tmpl w:val="AB32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C7F00"/>
    <w:multiLevelType w:val="hybridMultilevel"/>
    <w:tmpl w:val="CE8EC422"/>
    <w:lvl w:ilvl="0" w:tplc="E676EE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1A82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FE84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441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444A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9EDD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DAF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1222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ACC9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3673683"/>
    <w:multiLevelType w:val="hybridMultilevel"/>
    <w:tmpl w:val="D86E8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1" w:cryptProviderType="rsaFull" w:cryptAlgorithmClass="hash" w:cryptAlgorithmType="typeAny" w:cryptAlgorithmSid="4" w:cryptSpinCount="100000" w:hash="zvfz9KLB43kTJniFAsom0xFbRaE=" w:salt="aUo49+r4KPGAHEBEGs4YF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95"/>
    <w:rsid w:val="000F5E84"/>
    <w:rsid w:val="00132A1D"/>
    <w:rsid w:val="00175C33"/>
    <w:rsid w:val="001A0A81"/>
    <w:rsid w:val="001E5968"/>
    <w:rsid w:val="002153CF"/>
    <w:rsid w:val="002C26D5"/>
    <w:rsid w:val="003E3698"/>
    <w:rsid w:val="00431621"/>
    <w:rsid w:val="00483043"/>
    <w:rsid w:val="004E4267"/>
    <w:rsid w:val="00564300"/>
    <w:rsid w:val="00567F65"/>
    <w:rsid w:val="00604456"/>
    <w:rsid w:val="006D685B"/>
    <w:rsid w:val="006E6E2A"/>
    <w:rsid w:val="00761001"/>
    <w:rsid w:val="007B1C12"/>
    <w:rsid w:val="00832F51"/>
    <w:rsid w:val="008A7CB5"/>
    <w:rsid w:val="008B7F95"/>
    <w:rsid w:val="008E6340"/>
    <w:rsid w:val="009271F4"/>
    <w:rsid w:val="00A820BC"/>
    <w:rsid w:val="00AA61E7"/>
    <w:rsid w:val="00BE6D3A"/>
    <w:rsid w:val="00BF30ED"/>
    <w:rsid w:val="00D51523"/>
    <w:rsid w:val="00D757F1"/>
    <w:rsid w:val="00DD2D82"/>
    <w:rsid w:val="00E74F8B"/>
    <w:rsid w:val="00E757CE"/>
    <w:rsid w:val="00EA3462"/>
    <w:rsid w:val="00EA6CA6"/>
    <w:rsid w:val="00EE2F5F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81"/>
  </w:style>
  <w:style w:type="paragraph" w:styleId="Titolo1">
    <w:name w:val="heading 1"/>
    <w:basedOn w:val="Normale"/>
    <w:next w:val="Normale"/>
    <w:link w:val="Titolo1Carattere"/>
    <w:uiPriority w:val="9"/>
    <w:qFormat/>
    <w:rsid w:val="001A0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GaramondG14">
    <w:name w:val="1. GaramondG14"/>
    <w:basedOn w:val="Paragrafoelenco"/>
    <w:link w:val="1GaramondG14Carattere"/>
    <w:qFormat/>
    <w:rsid w:val="001A0A81"/>
    <w:pPr>
      <w:ind w:hanging="360"/>
    </w:pPr>
    <w:rPr>
      <w:b/>
      <w:lang w:val="en-US"/>
    </w:rPr>
  </w:style>
  <w:style w:type="character" w:customStyle="1" w:styleId="1GaramondG14Carattere">
    <w:name w:val="1. GaramondG14 Carattere"/>
    <w:basedOn w:val="ParagrafoelencoCarattere"/>
    <w:link w:val="1GaramondG14"/>
    <w:rsid w:val="001A0A81"/>
    <w:rPr>
      <w:b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A0A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0A8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A0A8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0A81"/>
    <w:pPr>
      <w:spacing w:afterAutospacing="0" w:line="276" w:lineRule="auto"/>
      <w:jc w:val="left"/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26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2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53CF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30E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30ED"/>
    <w:rPr>
      <w:rFonts w:ascii="Consolas" w:hAnsi="Consolas" w:cs="Consolas"/>
      <w:sz w:val="20"/>
      <w:szCs w:val="20"/>
    </w:rPr>
  </w:style>
  <w:style w:type="table" w:styleId="Grigliatabella">
    <w:name w:val="Table Grid"/>
    <w:basedOn w:val="Tabellanormale"/>
    <w:uiPriority w:val="59"/>
    <w:rsid w:val="00DD2D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basedOn w:val="Normale"/>
    <w:link w:val="normale1Carattere"/>
    <w:qFormat/>
    <w:rsid w:val="00DD2D82"/>
    <w:pPr>
      <w:ind w:left="708"/>
    </w:pPr>
    <w:rPr>
      <w:b/>
      <w:sz w:val="26"/>
      <w:szCs w:val="26"/>
    </w:rPr>
  </w:style>
  <w:style w:type="character" w:customStyle="1" w:styleId="normale1Carattere">
    <w:name w:val="normale1 Carattere"/>
    <w:basedOn w:val="Carpredefinitoparagrafo"/>
    <w:link w:val="normale1"/>
    <w:rsid w:val="00DD2D82"/>
    <w:rPr>
      <w:b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175C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81"/>
  </w:style>
  <w:style w:type="paragraph" w:styleId="Titolo1">
    <w:name w:val="heading 1"/>
    <w:basedOn w:val="Normale"/>
    <w:next w:val="Normale"/>
    <w:link w:val="Titolo1Carattere"/>
    <w:uiPriority w:val="9"/>
    <w:qFormat/>
    <w:rsid w:val="001A0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GaramondG14">
    <w:name w:val="1. GaramondG14"/>
    <w:basedOn w:val="Paragrafoelenco"/>
    <w:link w:val="1GaramondG14Carattere"/>
    <w:qFormat/>
    <w:rsid w:val="001A0A81"/>
    <w:pPr>
      <w:ind w:hanging="360"/>
    </w:pPr>
    <w:rPr>
      <w:b/>
      <w:lang w:val="en-US"/>
    </w:rPr>
  </w:style>
  <w:style w:type="character" w:customStyle="1" w:styleId="1GaramondG14Carattere">
    <w:name w:val="1. GaramondG14 Carattere"/>
    <w:basedOn w:val="ParagrafoelencoCarattere"/>
    <w:link w:val="1GaramondG14"/>
    <w:rsid w:val="001A0A81"/>
    <w:rPr>
      <w:b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A0A8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A0A8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A0A81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A0A81"/>
    <w:pPr>
      <w:spacing w:afterAutospacing="0" w:line="276" w:lineRule="auto"/>
      <w:jc w:val="left"/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26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2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53CF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30E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30ED"/>
    <w:rPr>
      <w:rFonts w:ascii="Consolas" w:hAnsi="Consolas" w:cs="Consolas"/>
      <w:sz w:val="20"/>
      <w:szCs w:val="20"/>
    </w:rPr>
  </w:style>
  <w:style w:type="table" w:styleId="Grigliatabella">
    <w:name w:val="Table Grid"/>
    <w:basedOn w:val="Tabellanormale"/>
    <w:uiPriority w:val="59"/>
    <w:rsid w:val="00DD2D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basedOn w:val="Normale"/>
    <w:link w:val="normale1Carattere"/>
    <w:qFormat/>
    <w:rsid w:val="00DD2D82"/>
    <w:pPr>
      <w:ind w:left="708"/>
    </w:pPr>
    <w:rPr>
      <w:b/>
      <w:sz w:val="26"/>
      <w:szCs w:val="26"/>
    </w:rPr>
  </w:style>
  <w:style w:type="character" w:customStyle="1" w:styleId="normale1Carattere">
    <w:name w:val="normale1 Carattere"/>
    <w:basedOn w:val="Carpredefinitoparagrafo"/>
    <w:link w:val="normale1"/>
    <w:rsid w:val="00DD2D82"/>
    <w:rPr>
      <w:b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175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2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675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5749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1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7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03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0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76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7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8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78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66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53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02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11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13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7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9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89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43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593">
          <w:marLeft w:val="0"/>
          <w:marRight w:val="0"/>
          <w:marTop w:val="0"/>
          <w:marBottom w:val="0"/>
          <w:divBdr>
            <w:top w:val="single" w:sz="12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2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99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1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44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389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8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53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2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3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1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67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51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3651">
          <w:marLeft w:val="0"/>
          <w:marRight w:val="0"/>
          <w:marTop w:val="0"/>
          <w:marBottom w:val="0"/>
          <w:divBdr>
            <w:top w:val="single" w:sz="12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6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07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99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77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5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2994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7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77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16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7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531397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1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3">
          <w:marLeft w:val="0"/>
          <w:marRight w:val="0"/>
          <w:marTop w:val="0"/>
          <w:marBottom w:val="0"/>
          <w:divBdr>
            <w:top w:val="single" w:sz="12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69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20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0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6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1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3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73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0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91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1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483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761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957">
          <w:marLeft w:val="0"/>
          <w:marRight w:val="0"/>
          <w:marTop w:val="0"/>
          <w:marBottom w:val="0"/>
          <w:divBdr>
            <w:top w:val="single" w:sz="12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9C9D2-FB66-42B9-9689-FA37056F1E1D}"/>
      </w:docPartPr>
      <w:docPartBody>
        <w:p w:rsidR="00000000" w:rsidRDefault="00344F98">
          <w:r w:rsidRPr="00071EC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98"/>
    <w:rsid w:val="003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4F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4F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8900-C34B-42CA-A9E1-96DDD6EB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Aucelli Stefania</dc:creator>
  <cp:lastModifiedBy>Aucelli Stefania</cp:lastModifiedBy>
  <cp:revision>4</cp:revision>
  <cp:lastPrinted>2017-10-03T10:13:00Z</cp:lastPrinted>
  <dcterms:created xsi:type="dcterms:W3CDTF">2017-10-19T07:07:00Z</dcterms:created>
  <dcterms:modified xsi:type="dcterms:W3CDTF">2017-10-19T07:32:00Z</dcterms:modified>
</cp:coreProperties>
</file>